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F4A0DF" w14:textId="0E875492" w:rsidR="00BF70EF" w:rsidRDefault="008B3255" w:rsidP="008B3255">
      <w:pPr>
        <w:pStyle w:val="Subtitle"/>
      </w:pPr>
      <w:r>
        <w:t xml:space="preserve">                            Wynyard Resident Association</w:t>
      </w:r>
    </w:p>
    <w:p w14:paraId="5E62FC94" w14:textId="6315398F" w:rsidR="008B3255" w:rsidRDefault="008B3255" w:rsidP="008B3255">
      <w:pPr>
        <w:pStyle w:val="Subtitle"/>
      </w:pPr>
      <w:r>
        <w:t xml:space="preserve">                               Meeting: October 14, 2025</w:t>
      </w:r>
    </w:p>
    <w:p w14:paraId="0F42F0E1" w14:textId="3B49912A" w:rsidR="008B3255" w:rsidRDefault="008B3255" w:rsidP="008B3255">
      <w:pPr>
        <w:pStyle w:val="Subtitle"/>
      </w:pPr>
      <w:r>
        <w:t xml:space="preserve">                                              MINUTES</w:t>
      </w:r>
    </w:p>
    <w:p w14:paraId="7C0F6BC8" w14:textId="77777777" w:rsidR="008B3255" w:rsidRDefault="008B3255" w:rsidP="008B3255"/>
    <w:p w14:paraId="77B15BBD" w14:textId="3BA41257" w:rsidR="008B3255" w:rsidRDefault="008B3255" w:rsidP="008B3255">
      <w:pPr>
        <w:pStyle w:val="Subtitle"/>
        <w:numPr>
          <w:ilvl w:val="0"/>
          <w:numId w:val="2"/>
        </w:numPr>
      </w:pPr>
      <w:r>
        <w:t>Chair, Andy Dennis welcomed residents.</w:t>
      </w:r>
    </w:p>
    <w:p w14:paraId="28991247" w14:textId="6419F708" w:rsidR="008B3255" w:rsidRDefault="008B3255" w:rsidP="008B3255">
      <w:pPr>
        <w:pStyle w:val="Subtitle"/>
        <w:numPr>
          <w:ilvl w:val="0"/>
          <w:numId w:val="2"/>
        </w:numPr>
      </w:pPr>
      <w:r>
        <w:t>Apology for absence was received from Liz Hurst</w:t>
      </w:r>
      <w:r w:rsidR="008F396B">
        <w:t>, Coun. John Gardner</w:t>
      </w:r>
    </w:p>
    <w:p w14:paraId="437D0557" w14:textId="77777777" w:rsidR="008B3255" w:rsidRDefault="008B3255" w:rsidP="008B3255">
      <w:pPr>
        <w:pStyle w:val="Subtitle"/>
        <w:numPr>
          <w:ilvl w:val="0"/>
          <w:numId w:val="2"/>
        </w:numPr>
      </w:pPr>
      <w:r>
        <w:t>Minutes of the Previous Meeting were confirmed as a true record.</w:t>
      </w:r>
    </w:p>
    <w:p w14:paraId="5FB7DB4C" w14:textId="77777777" w:rsidR="00BE3F56" w:rsidRDefault="008B3255" w:rsidP="008B3255">
      <w:pPr>
        <w:pStyle w:val="Subtitle"/>
        <w:numPr>
          <w:ilvl w:val="0"/>
          <w:numId w:val="2"/>
        </w:numPr>
      </w:pPr>
      <w:r>
        <w:t>Most of the Matters Arising from the previous meeting were incorporated into the current Agenda. However, in relation to the provision of two benches</w:t>
      </w:r>
      <w:r w:rsidR="00BE3F56">
        <w:t>, the secretary was still in negotiations with Bellway re: siting of one bench and with the WPC clerk re: funding for the second bench.</w:t>
      </w:r>
    </w:p>
    <w:p w14:paraId="4BECFE8D" w14:textId="1962478E" w:rsidR="00BE3F56" w:rsidRDefault="00BE3F56" w:rsidP="00BE3F56">
      <w:pPr>
        <w:pStyle w:val="Subtitle"/>
        <w:ind w:left="720"/>
      </w:pPr>
      <w:r>
        <w:t>The chair, in his role as SPC(S) councillor was still in discussions re: the WPC willingness to contribute to both the provision of a bench and a shared contribution to the provision of a public address system.</w:t>
      </w:r>
    </w:p>
    <w:p w14:paraId="78A85530" w14:textId="13019530" w:rsidR="00BE3F56" w:rsidRDefault="00BE3F56" w:rsidP="00BE3F56">
      <w:pPr>
        <w:pStyle w:val="Subtitle"/>
        <w:numPr>
          <w:ilvl w:val="0"/>
          <w:numId w:val="2"/>
        </w:numPr>
      </w:pPr>
      <w:r>
        <w:t>Chair’s Comments.</w:t>
      </w:r>
    </w:p>
    <w:p w14:paraId="277AF3F1" w14:textId="19CEC3B1" w:rsidR="00BE3F56" w:rsidRDefault="00BE3F56" w:rsidP="00BE3F56">
      <w:pPr>
        <w:pStyle w:val="Subtitle"/>
        <w:numPr>
          <w:ilvl w:val="0"/>
          <w:numId w:val="3"/>
        </w:numPr>
      </w:pPr>
      <w:r>
        <w:t>AD reminded residents that there continued to be a vacancy for a vice-chair.</w:t>
      </w:r>
    </w:p>
    <w:p w14:paraId="3EC3D894" w14:textId="77777777" w:rsidR="00F13842" w:rsidRDefault="00BE3F56" w:rsidP="00BE3F56">
      <w:pPr>
        <w:pStyle w:val="Subtitle"/>
        <w:numPr>
          <w:ilvl w:val="0"/>
          <w:numId w:val="3"/>
        </w:numPr>
      </w:pPr>
      <w:r>
        <w:t>There was some discussion about the distribution of letters, from WES, re the annual estate charge to residents. As of the time of the meeting, not all residents had received the information regarding estate charges</w:t>
      </w:r>
      <w:r w:rsidR="00F13842">
        <w:t>.</w:t>
      </w:r>
    </w:p>
    <w:p w14:paraId="0238E676" w14:textId="77777777" w:rsidR="00F13842" w:rsidRDefault="00F13842" w:rsidP="00F13842">
      <w:pPr>
        <w:pStyle w:val="Subtitle"/>
        <w:numPr>
          <w:ilvl w:val="0"/>
          <w:numId w:val="0"/>
        </w:numPr>
        <w:ind w:left="720"/>
      </w:pPr>
      <w:r>
        <w:t>Those who were present and had received the letter from WES were concerned that, despite the outcome of the recent legal action regarding estate charges, there was considered insufficient evidence of expenditure within the information provided by WES. It was indicated that residents, on receipt of the letter, would have 30 days in which to respond to any concerns that they had regarding the information provided.</w:t>
      </w:r>
    </w:p>
    <w:p w14:paraId="2BDD4B6C" w14:textId="77777777" w:rsidR="00346F92" w:rsidRDefault="00F13842" w:rsidP="00F13842">
      <w:pPr>
        <w:pStyle w:val="Subtitle"/>
        <w:numPr>
          <w:ilvl w:val="0"/>
          <w:numId w:val="3"/>
        </w:numPr>
      </w:pPr>
      <w:r>
        <w:lastRenderedPageBreak/>
        <w:t>Concerns continued to be expressed about WES and Cameron Hall’s reluctance to enter any kind of dialogue with the WPC(S) or the WRA. TM indicated that the Wynyard Matters Events Team. Linked to the WRA did receive some cooperation from WES. It was hoped that the appointment of a new chair of WPC(S) may provide an opportunity of dialogue with CA.</w:t>
      </w:r>
    </w:p>
    <w:p w14:paraId="6B774531" w14:textId="4C73DD69" w:rsidR="00346F92" w:rsidRDefault="00346F92" w:rsidP="00346F92">
      <w:pPr>
        <w:pStyle w:val="Subtitle"/>
        <w:numPr>
          <w:ilvl w:val="0"/>
          <w:numId w:val="2"/>
        </w:numPr>
      </w:pPr>
      <w:r>
        <w:t>Treasurer’s Report. Simon Osborne provided the meeting with copies of statements of accounts for September 2025 and the annual on-going statement for 2025. (Attached)</w:t>
      </w:r>
    </w:p>
    <w:p w14:paraId="6855DBFC" w14:textId="77777777" w:rsidR="00346F92" w:rsidRDefault="00346F92" w:rsidP="00346F92">
      <w:pPr>
        <w:pStyle w:val="Subtitle"/>
        <w:numPr>
          <w:ilvl w:val="0"/>
          <w:numId w:val="0"/>
        </w:numPr>
        <w:ind w:left="720"/>
      </w:pPr>
      <w:r>
        <w:t xml:space="preserve">The finances continued to be in a healthy position with a closing balance of £21,664.67. </w:t>
      </w:r>
      <w:r w:rsidR="00F13842">
        <w:t xml:space="preserve"> </w:t>
      </w:r>
      <w:r>
        <w:t>£191.20 in Petty Cash and further outstanding incomes from WM Magazine advertisers and transfer of joint funding from WPC(S).</w:t>
      </w:r>
    </w:p>
    <w:p w14:paraId="33537B44" w14:textId="25F440A9" w:rsidR="00BE3F56" w:rsidRDefault="00346F92" w:rsidP="00346F92">
      <w:pPr>
        <w:pStyle w:val="Subtitle"/>
        <w:numPr>
          <w:ilvl w:val="0"/>
          <w:numId w:val="0"/>
        </w:numPr>
        <w:ind w:left="720"/>
      </w:pPr>
      <w:r>
        <w:t>Simon also made reference to the £9</w:t>
      </w:r>
      <w:r w:rsidR="00365620">
        <w:t>08.41 raised by the WM Events Team at the recent Scarecrow Trail event. Although earmarked for donation to the Alzheimer</w:t>
      </w:r>
      <w:r w:rsidR="00346C1C">
        <w:t>’</w:t>
      </w:r>
      <w:r w:rsidR="00365620">
        <w:t>s UK charity, the funds would appear in the October statement of accounts.</w:t>
      </w:r>
      <w:r w:rsidR="00F13842">
        <w:t xml:space="preserve"> </w:t>
      </w:r>
    </w:p>
    <w:p w14:paraId="2B0985C2" w14:textId="77777777" w:rsidR="009E018A" w:rsidRDefault="00365620" w:rsidP="00365620">
      <w:pPr>
        <w:pStyle w:val="Subtitle"/>
      </w:pPr>
      <w:r>
        <w:t xml:space="preserve">         Residents were asked to suggest worthy charities for receipt of                             a donat</w:t>
      </w:r>
      <w:r w:rsidR="009E018A">
        <w:t>i</w:t>
      </w:r>
      <w:r>
        <w:t>on from the WRA</w:t>
      </w:r>
      <w:r w:rsidR="009E018A">
        <w:t>. TM pointed out that the matter was high on the agenda of the WM Events Team.</w:t>
      </w:r>
    </w:p>
    <w:p w14:paraId="7520D33D" w14:textId="77777777" w:rsidR="009E018A" w:rsidRDefault="009E018A" w:rsidP="009E018A">
      <w:pPr>
        <w:pStyle w:val="Subtitle"/>
        <w:numPr>
          <w:ilvl w:val="0"/>
          <w:numId w:val="2"/>
        </w:numPr>
      </w:pPr>
      <w:r>
        <w:t>Planning Matters. AD provided a brief update.</w:t>
      </w:r>
    </w:p>
    <w:p w14:paraId="0A963A03" w14:textId="77777777" w:rsidR="009E018A" w:rsidRDefault="009E018A" w:rsidP="009E018A">
      <w:pPr>
        <w:pStyle w:val="Subtitle"/>
        <w:numPr>
          <w:ilvl w:val="0"/>
          <w:numId w:val="0"/>
        </w:numPr>
        <w:ind w:left="720"/>
      </w:pPr>
      <w:r>
        <w:t xml:space="preserve">There were currently 4 developments of interest to Wynyard residents. </w:t>
      </w:r>
    </w:p>
    <w:p w14:paraId="3C521EA9" w14:textId="77777777" w:rsidR="009E018A" w:rsidRDefault="009E018A" w:rsidP="009E018A">
      <w:pPr>
        <w:pStyle w:val="Subtitle"/>
        <w:numPr>
          <w:ilvl w:val="0"/>
          <w:numId w:val="3"/>
        </w:numPr>
      </w:pPr>
      <w:r>
        <w:t xml:space="preserve"> The current appeal process, instigated by CA was underway and      the Building Inspectorate were requesting any further comments for consideration. AD agreed to submit comments on behalf of the WRA, as a representative body of Wynyard residents.</w:t>
      </w:r>
    </w:p>
    <w:p w14:paraId="341BBE87" w14:textId="77777777" w:rsidR="00B36866" w:rsidRDefault="00B36866" w:rsidP="009E018A">
      <w:pPr>
        <w:pStyle w:val="Subtitle"/>
        <w:numPr>
          <w:ilvl w:val="0"/>
          <w:numId w:val="3"/>
        </w:numPr>
      </w:pPr>
      <w:r>
        <w:t xml:space="preserve">The </w:t>
      </w:r>
      <w:r w:rsidR="009E018A">
        <w:t>Plannin</w:t>
      </w:r>
      <w:r>
        <w:t>g Application for SBC land north of the A689 had received 37 comments.</w:t>
      </w:r>
    </w:p>
    <w:p w14:paraId="65B52552" w14:textId="77777777" w:rsidR="00B36866" w:rsidRDefault="00B36866" w:rsidP="009E018A">
      <w:pPr>
        <w:pStyle w:val="Subtitle"/>
        <w:numPr>
          <w:ilvl w:val="0"/>
          <w:numId w:val="3"/>
        </w:numPr>
      </w:pPr>
      <w:r>
        <w:t>The 700 house development for the Village area of Wynyard was on “pause” although it formed part of on-going discussions between WRA and SBC.</w:t>
      </w:r>
    </w:p>
    <w:p w14:paraId="2D01F96A" w14:textId="03CEA5C2" w:rsidR="00365620" w:rsidRPr="00365620" w:rsidRDefault="00B36866" w:rsidP="009E018A">
      <w:pPr>
        <w:pStyle w:val="Subtitle"/>
        <w:numPr>
          <w:ilvl w:val="0"/>
          <w:numId w:val="3"/>
        </w:numPr>
      </w:pPr>
      <w:r>
        <w:lastRenderedPageBreak/>
        <w:t xml:space="preserve">There was some discussion about the possible development of “Masts”, by Anglian Water, to aid in the provision of “Smart Meters” </w:t>
      </w:r>
      <w:r w:rsidR="00365620">
        <w:t xml:space="preserve">           </w:t>
      </w:r>
    </w:p>
    <w:p w14:paraId="2099432D" w14:textId="0BD67347" w:rsidR="008B3255" w:rsidRDefault="00B36866" w:rsidP="00BE3F56">
      <w:pPr>
        <w:pStyle w:val="Subtitle"/>
        <w:ind w:left="720"/>
      </w:pPr>
      <w:r>
        <w:t>There was a question regarding the present state of the provision of the Community Hub off the Stoneywood Drive area. There was no update available but it was agreed that enquiries would be made about the development.</w:t>
      </w:r>
    </w:p>
    <w:p w14:paraId="5791AE68" w14:textId="283F9E70" w:rsidR="00B36866" w:rsidRDefault="00B36866" w:rsidP="00B36866">
      <w:pPr>
        <w:pStyle w:val="Subtitle"/>
      </w:pPr>
      <w:r>
        <w:t>8, WM Events Team Update.</w:t>
      </w:r>
    </w:p>
    <w:p w14:paraId="4CF786D2" w14:textId="1DD24815" w:rsidR="00B36866" w:rsidRDefault="00B36866" w:rsidP="00346C1C">
      <w:pPr>
        <w:pStyle w:val="Subtitle"/>
      </w:pPr>
      <w:r>
        <w:t xml:space="preserve">         Heather Lightfoot and Helen </w:t>
      </w:r>
      <w:r w:rsidR="00B3699C">
        <w:t>Tulloch</w:t>
      </w:r>
      <w:r>
        <w:t xml:space="preserve"> provided a report on the recent Scarecrow Trail Event. It had been an outstanding suggest in attendance and in </w:t>
      </w:r>
      <w:r w:rsidR="00346C1C">
        <w:t xml:space="preserve">funds raised for donation the Alzheimer’s UK charity. There was some discussion about the proposed “Horse Racing Night” but the Celebration of Christmas through Music” (Carol Concert) was scheduled to go ahead. </w:t>
      </w:r>
    </w:p>
    <w:p w14:paraId="7DA38246" w14:textId="7E288AB7" w:rsidR="00346C1C" w:rsidRDefault="00346C1C" w:rsidP="00346C1C">
      <w:pPr>
        <w:pStyle w:val="Subtitle"/>
        <w:numPr>
          <w:ilvl w:val="0"/>
          <w:numId w:val="4"/>
        </w:numPr>
      </w:pPr>
      <w:r>
        <w:t xml:space="preserve">It was reported recently that there had been some evidence of anti-social behaviour around the village involving a small number of young people. TM pointed out that of the hundreds of young people who lived on Wynyard, these incidents involved a very small number of young people. </w:t>
      </w:r>
      <w:r w:rsidR="00687E20">
        <w:t>It was suggestion that any concerns about anti-social behaviour, and information about those involved, should be shared with the police, through our Wynyard PCO’s for Wynyard. These are:</w:t>
      </w:r>
    </w:p>
    <w:p w14:paraId="676FC588" w14:textId="52905A97" w:rsidR="00687E20" w:rsidRDefault="00687E20" w:rsidP="00687E20">
      <w:pPr>
        <w:pStyle w:val="Subtitle"/>
      </w:pPr>
      <w:hyperlink r:id="rId5" w:history="1">
        <w:r w:rsidRPr="00A613FA">
          <w:rPr>
            <w:rStyle w:val="Hyperlink"/>
          </w:rPr>
          <w:t>Sharon.rollins@cleveland.police.uk</w:t>
        </w:r>
      </w:hyperlink>
      <w:r>
        <w:t xml:space="preserve">  and </w:t>
      </w:r>
      <w:hyperlink r:id="rId6" w:history="1">
        <w:r w:rsidRPr="00A613FA">
          <w:rPr>
            <w:rStyle w:val="Hyperlink"/>
          </w:rPr>
          <w:t>elizabeth.lutze@cleveland.police.uk</w:t>
        </w:r>
      </w:hyperlink>
    </w:p>
    <w:p w14:paraId="6790207E" w14:textId="77777777" w:rsidR="00687E20" w:rsidRDefault="00687E20" w:rsidP="00687E20">
      <w:pPr>
        <w:pStyle w:val="Heading2"/>
        <w:ind w:left="720"/>
      </w:pPr>
    </w:p>
    <w:p w14:paraId="5C8AACFB" w14:textId="2C20209E" w:rsidR="00687E20" w:rsidRPr="00687E20" w:rsidRDefault="00687E20" w:rsidP="00687E20">
      <w:pPr>
        <w:pStyle w:val="Heading2"/>
        <w:ind w:left="720"/>
      </w:pPr>
      <w:r>
        <w:t>There being no further business, the meeting closed at 7.40pm</w:t>
      </w:r>
    </w:p>
    <w:p w14:paraId="7FDEED1C" w14:textId="77777777" w:rsidR="00687E20" w:rsidRPr="00687E20" w:rsidRDefault="00687E20" w:rsidP="00687E20"/>
    <w:sectPr w:rsidR="00687E20" w:rsidRPr="00687E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145D7"/>
    <w:multiLevelType w:val="hybridMultilevel"/>
    <w:tmpl w:val="D226AE5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E45A99"/>
    <w:multiLevelType w:val="hybridMultilevel"/>
    <w:tmpl w:val="4DFC4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B1936"/>
    <w:multiLevelType w:val="hybridMultilevel"/>
    <w:tmpl w:val="0B9CA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3D6ACB"/>
    <w:multiLevelType w:val="hybridMultilevel"/>
    <w:tmpl w:val="A3F44228"/>
    <w:lvl w:ilvl="0" w:tplc="A9EA0A62">
      <w:start w:val="5"/>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5167490">
    <w:abstractNumId w:val="2"/>
  </w:num>
  <w:num w:numId="2" w16cid:durableId="2059281634">
    <w:abstractNumId w:val="1"/>
  </w:num>
  <w:num w:numId="3" w16cid:durableId="1265190207">
    <w:abstractNumId w:val="3"/>
  </w:num>
  <w:num w:numId="4" w16cid:durableId="1706713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55"/>
    <w:rsid w:val="00083CD5"/>
    <w:rsid w:val="00346C1C"/>
    <w:rsid w:val="00346F92"/>
    <w:rsid w:val="00365620"/>
    <w:rsid w:val="0046768F"/>
    <w:rsid w:val="004E0C7C"/>
    <w:rsid w:val="00687E20"/>
    <w:rsid w:val="00797622"/>
    <w:rsid w:val="008A6E30"/>
    <w:rsid w:val="008B3255"/>
    <w:rsid w:val="008F396B"/>
    <w:rsid w:val="009E018A"/>
    <w:rsid w:val="00B36866"/>
    <w:rsid w:val="00B3699C"/>
    <w:rsid w:val="00BE3F56"/>
    <w:rsid w:val="00BF70EF"/>
    <w:rsid w:val="00E50AC8"/>
    <w:rsid w:val="00F13842"/>
    <w:rsid w:val="00FA7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06BE"/>
  <w15:chartTrackingRefBased/>
  <w15:docId w15:val="{136F45B8-DF6C-4D88-BA20-643D42AC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Bidi"/>
        <w:color w:val="BF8F00" w:themeColor="accent4" w:themeShade="BF"/>
        <w:kern w:val="2"/>
        <w:sz w:val="40"/>
        <w:szCs w:val="40"/>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255"/>
    <w:pPr>
      <w:keepNext/>
      <w:keepLines/>
      <w:spacing w:before="360" w:after="80"/>
      <w:outlineLvl w:val="0"/>
    </w:pPr>
    <w:rPr>
      <w:rFonts w:eastAsiaTheme="majorEastAsia"/>
      <w:color w:val="2F5496" w:themeColor="accent1" w:themeShade="BF"/>
    </w:rPr>
  </w:style>
  <w:style w:type="paragraph" w:styleId="Heading2">
    <w:name w:val="heading 2"/>
    <w:basedOn w:val="Normal"/>
    <w:next w:val="Normal"/>
    <w:link w:val="Heading2Char"/>
    <w:uiPriority w:val="9"/>
    <w:unhideWhenUsed/>
    <w:qFormat/>
    <w:rsid w:val="008B3255"/>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semiHidden/>
    <w:unhideWhenUsed/>
    <w:qFormat/>
    <w:rsid w:val="008B3255"/>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8B3255"/>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8B3255"/>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8B3255"/>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8B3255"/>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8B3255"/>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8B3255"/>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255"/>
    <w:rPr>
      <w:rFonts w:eastAsiaTheme="majorEastAsia"/>
      <w:color w:val="2F5496" w:themeColor="accent1" w:themeShade="BF"/>
    </w:rPr>
  </w:style>
  <w:style w:type="character" w:customStyle="1" w:styleId="Heading2Char">
    <w:name w:val="Heading 2 Char"/>
    <w:basedOn w:val="DefaultParagraphFont"/>
    <w:link w:val="Heading2"/>
    <w:uiPriority w:val="9"/>
    <w:rsid w:val="008B3255"/>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semiHidden/>
    <w:rsid w:val="008B3255"/>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8B3255"/>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8B3255"/>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8B3255"/>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8B3255"/>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8B3255"/>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8B3255"/>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8B3255"/>
    <w:pPr>
      <w:spacing w:after="80" w:line="240" w:lineRule="auto"/>
      <w:contextualSpacing/>
    </w:pPr>
    <w:rPr>
      <w:rFonts w:eastAsiaTheme="majorEastAsia"/>
      <w:color w:val="auto"/>
      <w:spacing w:val="-10"/>
      <w:kern w:val="28"/>
      <w:sz w:val="56"/>
      <w:szCs w:val="56"/>
    </w:rPr>
  </w:style>
  <w:style w:type="character" w:customStyle="1" w:styleId="TitleChar">
    <w:name w:val="Title Char"/>
    <w:basedOn w:val="DefaultParagraphFont"/>
    <w:link w:val="Title"/>
    <w:uiPriority w:val="10"/>
    <w:rsid w:val="008B3255"/>
    <w:rPr>
      <w:rFonts w:eastAsiaTheme="majorEastAsia"/>
      <w:color w:val="auto"/>
      <w:spacing w:val="-10"/>
      <w:kern w:val="28"/>
      <w:sz w:val="56"/>
      <w:szCs w:val="56"/>
    </w:rPr>
  </w:style>
  <w:style w:type="paragraph" w:styleId="Subtitle">
    <w:name w:val="Subtitle"/>
    <w:basedOn w:val="Normal"/>
    <w:next w:val="Normal"/>
    <w:link w:val="SubtitleChar"/>
    <w:uiPriority w:val="11"/>
    <w:qFormat/>
    <w:rsid w:val="008B3255"/>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8B3255"/>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8B3255"/>
    <w:pPr>
      <w:spacing w:before="160"/>
      <w:jc w:val="center"/>
    </w:pPr>
    <w:rPr>
      <w:i/>
      <w:iCs/>
      <w:color w:val="404040" w:themeColor="text1" w:themeTint="BF"/>
    </w:rPr>
  </w:style>
  <w:style w:type="character" w:customStyle="1" w:styleId="QuoteChar">
    <w:name w:val="Quote Char"/>
    <w:basedOn w:val="DefaultParagraphFont"/>
    <w:link w:val="Quote"/>
    <w:uiPriority w:val="29"/>
    <w:rsid w:val="008B3255"/>
    <w:rPr>
      <w:i/>
      <w:iCs/>
      <w:color w:val="404040" w:themeColor="text1" w:themeTint="BF"/>
    </w:rPr>
  </w:style>
  <w:style w:type="paragraph" w:styleId="ListParagraph">
    <w:name w:val="List Paragraph"/>
    <w:basedOn w:val="Normal"/>
    <w:uiPriority w:val="34"/>
    <w:qFormat/>
    <w:rsid w:val="008B3255"/>
    <w:pPr>
      <w:ind w:left="720"/>
      <w:contextualSpacing/>
    </w:pPr>
  </w:style>
  <w:style w:type="character" w:styleId="IntenseEmphasis">
    <w:name w:val="Intense Emphasis"/>
    <w:basedOn w:val="DefaultParagraphFont"/>
    <w:uiPriority w:val="21"/>
    <w:qFormat/>
    <w:rsid w:val="008B3255"/>
    <w:rPr>
      <w:i/>
      <w:iCs/>
      <w:color w:val="2F5496" w:themeColor="accent1" w:themeShade="BF"/>
    </w:rPr>
  </w:style>
  <w:style w:type="paragraph" w:styleId="IntenseQuote">
    <w:name w:val="Intense Quote"/>
    <w:basedOn w:val="Normal"/>
    <w:next w:val="Normal"/>
    <w:link w:val="IntenseQuoteChar"/>
    <w:uiPriority w:val="30"/>
    <w:qFormat/>
    <w:rsid w:val="008B32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3255"/>
    <w:rPr>
      <w:i/>
      <w:iCs/>
      <w:color w:val="2F5496" w:themeColor="accent1" w:themeShade="BF"/>
    </w:rPr>
  </w:style>
  <w:style w:type="character" w:styleId="IntenseReference">
    <w:name w:val="Intense Reference"/>
    <w:basedOn w:val="DefaultParagraphFont"/>
    <w:uiPriority w:val="32"/>
    <w:qFormat/>
    <w:rsid w:val="008B3255"/>
    <w:rPr>
      <w:b/>
      <w:bCs/>
      <w:smallCaps/>
      <w:color w:val="2F5496" w:themeColor="accent1" w:themeShade="BF"/>
      <w:spacing w:val="5"/>
    </w:rPr>
  </w:style>
  <w:style w:type="character" w:styleId="Hyperlink">
    <w:name w:val="Hyperlink"/>
    <w:basedOn w:val="DefaultParagraphFont"/>
    <w:uiPriority w:val="99"/>
    <w:unhideWhenUsed/>
    <w:rsid w:val="00687E20"/>
    <w:rPr>
      <w:color w:val="0563C1" w:themeColor="hyperlink"/>
      <w:u w:val="single"/>
    </w:rPr>
  </w:style>
  <w:style w:type="character" w:styleId="UnresolvedMention">
    <w:name w:val="Unresolved Mention"/>
    <w:basedOn w:val="DefaultParagraphFont"/>
    <w:uiPriority w:val="99"/>
    <w:semiHidden/>
    <w:unhideWhenUsed/>
    <w:rsid w:val="00687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izabeth.lutze@cleveland.police.uk" TargetMode="External"/><Relationship Id="rId5" Type="http://schemas.openxmlformats.org/officeDocument/2006/relationships/hyperlink" Target="mailto:Sharon.rollins@cleveland.police.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Maxwell</dc:creator>
  <cp:keywords/>
  <dc:description/>
  <cp:lastModifiedBy>Tony Maxwell</cp:lastModifiedBy>
  <cp:revision>6</cp:revision>
  <dcterms:created xsi:type="dcterms:W3CDTF">2025-10-15T06:25:00Z</dcterms:created>
  <dcterms:modified xsi:type="dcterms:W3CDTF">2025-10-15T18:17:00Z</dcterms:modified>
</cp:coreProperties>
</file>